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38413" w14:textId="77777777" w:rsidR="00932054" w:rsidRPr="00A87148" w:rsidRDefault="009A58F2">
      <w:pPr>
        <w:pStyle w:val="Tittel"/>
      </w:pPr>
      <w:r w:rsidRPr="00A87148">
        <w:t>Infoskriv løpere, ledere og</w:t>
      </w:r>
      <w:r w:rsidRPr="00A87148">
        <w:rPr>
          <w:noProof/>
        </w:rPr>
        <w:drawing>
          <wp:anchor distT="152400" distB="152400" distL="152400" distR="152400" simplePos="0" relativeHeight="251659264" behindDoc="0" locked="0" layoutInCell="1" allowOverlap="1" wp14:anchorId="3ECA542F" wp14:editId="730C7739">
            <wp:simplePos x="0" y="0"/>
            <wp:positionH relativeFrom="margin">
              <wp:posOffset>3960608</wp:posOffset>
            </wp:positionH>
            <wp:positionV relativeFrom="page">
              <wp:posOffset>899794</wp:posOffset>
            </wp:positionV>
            <wp:extent cx="1789952" cy="679970"/>
            <wp:effectExtent l="0" t="0" r="0" b="0"/>
            <wp:wrapThrough wrapText="bothSides" distL="152400" distR="152400">
              <wp:wrapPolygon edited="1">
                <wp:start x="0" y="0"/>
                <wp:lineTo x="21600" y="0"/>
                <wp:lineTo x="21600" y="21600"/>
                <wp:lineTo x="0" y="21600"/>
                <wp:lineTo x="0" y="0"/>
              </wp:wrapPolygon>
            </wp:wrapThrough>
            <wp:docPr id="1073741825" name="officeArt object" descr="nm-veka-845x321.jpg"/>
            <wp:cNvGraphicFramePr/>
            <a:graphic xmlns:a="http://schemas.openxmlformats.org/drawingml/2006/main">
              <a:graphicData uri="http://schemas.openxmlformats.org/drawingml/2006/picture">
                <pic:pic xmlns:pic="http://schemas.openxmlformats.org/drawingml/2006/picture">
                  <pic:nvPicPr>
                    <pic:cNvPr id="1073741825" name="nm-veka-845x321.jpg" descr="nm-veka-845x321.jpg"/>
                    <pic:cNvPicPr>
                      <a:picLocks noChangeAspect="1"/>
                    </pic:cNvPicPr>
                  </pic:nvPicPr>
                  <pic:blipFill>
                    <a:blip r:embed="rId7"/>
                    <a:stretch>
                      <a:fillRect/>
                    </a:stretch>
                  </pic:blipFill>
                  <pic:spPr>
                    <a:xfrm>
                      <a:off x="0" y="0"/>
                      <a:ext cx="1789952" cy="679970"/>
                    </a:xfrm>
                    <a:prstGeom prst="rect">
                      <a:avLst/>
                    </a:prstGeom>
                    <a:ln w="12700" cap="flat">
                      <a:noFill/>
                      <a:miter lim="400000"/>
                    </a:ln>
                    <a:effectLst/>
                  </pic:spPr>
                </pic:pic>
              </a:graphicData>
            </a:graphic>
          </wp:anchor>
        </w:drawing>
      </w:r>
      <w:r w:rsidRPr="00A87148">
        <w:rPr>
          <w:noProof/>
        </w:rPr>
        <w:drawing>
          <wp:anchor distT="57150" distB="57150" distL="57150" distR="57150" simplePos="0" relativeHeight="251661312" behindDoc="0" locked="0" layoutInCell="1" allowOverlap="1" wp14:anchorId="4046B1FB" wp14:editId="7326AFCA">
            <wp:simplePos x="0" y="0"/>
            <wp:positionH relativeFrom="margin">
              <wp:posOffset>3960608</wp:posOffset>
            </wp:positionH>
            <wp:positionV relativeFrom="line">
              <wp:posOffset>713312</wp:posOffset>
            </wp:positionV>
            <wp:extent cx="565913" cy="591804"/>
            <wp:effectExtent l="0" t="0" r="0" b="0"/>
            <wp:wrapSquare wrapText="bothSides" distT="57150" distB="57150" distL="57150" distR="57150"/>
            <wp:docPr id="1073741826" name="officeArt object" descr="Bilde 3"/>
            <wp:cNvGraphicFramePr/>
            <a:graphic xmlns:a="http://schemas.openxmlformats.org/drawingml/2006/main">
              <a:graphicData uri="http://schemas.openxmlformats.org/drawingml/2006/picture">
                <pic:pic xmlns:pic="http://schemas.openxmlformats.org/drawingml/2006/picture">
                  <pic:nvPicPr>
                    <pic:cNvPr id="1073741826" name="Bilde 3" descr="Bilde 3"/>
                    <pic:cNvPicPr>
                      <a:picLocks noChangeAspect="1"/>
                    </pic:cNvPicPr>
                  </pic:nvPicPr>
                  <pic:blipFill>
                    <a:blip r:embed="rId8"/>
                    <a:stretch>
                      <a:fillRect/>
                    </a:stretch>
                  </pic:blipFill>
                  <pic:spPr>
                    <a:xfrm>
                      <a:off x="0" y="0"/>
                      <a:ext cx="565913" cy="591804"/>
                    </a:xfrm>
                    <a:prstGeom prst="rect">
                      <a:avLst/>
                    </a:prstGeom>
                    <a:ln w="12700" cap="flat">
                      <a:noFill/>
                      <a:miter lim="400000"/>
                    </a:ln>
                    <a:effectLst/>
                  </pic:spPr>
                </pic:pic>
              </a:graphicData>
            </a:graphic>
          </wp:anchor>
        </w:drawing>
      </w:r>
      <w:r w:rsidRPr="00A87148">
        <w:t xml:space="preserve"> tilreisende personell</w:t>
      </w:r>
      <w:r w:rsidRPr="00A87148">
        <w:rPr>
          <w:noProof/>
        </w:rPr>
        <w:drawing>
          <wp:anchor distT="57150" distB="57150" distL="57150" distR="57150" simplePos="0" relativeHeight="251662336" behindDoc="0" locked="0" layoutInCell="1" allowOverlap="1" wp14:anchorId="2E32CEC5" wp14:editId="6E33351A">
            <wp:simplePos x="0" y="0"/>
            <wp:positionH relativeFrom="margin">
              <wp:posOffset>4628120</wp:posOffset>
            </wp:positionH>
            <wp:positionV relativeFrom="line">
              <wp:posOffset>291452</wp:posOffset>
            </wp:positionV>
            <wp:extent cx="440278" cy="581865"/>
            <wp:effectExtent l="0" t="0" r="0" b="0"/>
            <wp:wrapSquare wrapText="bothSides" distT="57150" distB="57150" distL="57150" distR="57150"/>
            <wp:docPr id="1073741827" name="officeArt object" descr="Bilde 4"/>
            <wp:cNvGraphicFramePr/>
            <a:graphic xmlns:a="http://schemas.openxmlformats.org/drawingml/2006/main">
              <a:graphicData uri="http://schemas.openxmlformats.org/drawingml/2006/picture">
                <pic:pic xmlns:pic="http://schemas.openxmlformats.org/drawingml/2006/picture">
                  <pic:nvPicPr>
                    <pic:cNvPr id="1073741827" name="Bilde 4" descr="Bilde 4"/>
                    <pic:cNvPicPr>
                      <a:picLocks noChangeAspect="1"/>
                    </pic:cNvPicPr>
                  </pic:nvPicPr>
                  <pic:blipFill>
                    <a:blip r:embed="rId9"/>
                    <a:stretch>
                      <a:fillRect/>
                    </a:stretch>
                  </pic:blipFill>
                  <pic:spPr>
                    <a:xfrm>
                      <a:off x="0" y="0"/>
                      <a:ext cx="440278" cy="581865"/>
                    </a:xfrm>
                    <a:prstGeom prst="rect">
                      <a:avLst/>
                    </a:prstGeom>
                    <a:ln w="12700" cap="flat">
                      <a:noFill/>
                      <a:miter lim="400000"/>
                    </a:ln>
                    <a:effectLst/>
                  </pic:spPr>
                </pic:pic>
              </a:graphicData>
            </a:graphic>
          </wp:anchor>
        </w:drawing>
      </w:r>
      <w:r w:rsidRPr="00A87148">
        <w:rPr>
          <w:noProof/>
        </w:rPr>
        <w:drawing>
          <wp:anchor distT="57150" distB="57150" distL="57150" distR="57150" simplePos="0" relativeHeight="251660288" behindDoc="0" locked="0" layoutInCell="1" allowOverlap="1" wp14:anchorId="3D8928F9" wp14:editId="51F59C1E">
            <wp:simplePos x="0" y="0"/>
            <wp:positionH relativeFrom="margin">
              <wp:posOffset>5068397</wp:posOffset>
            </wp:positionH>
            <wp:positionV relativeFrom="line">
              <wp:posOffset>294989</wp:posOffset>
            </wp:positionV>
            <wp:extent cx="875204" cy="578329"/>
            <wp:effectExtent l="0" t="0" r="0" b="0"/>
            <wp:wrapSquare wrapText="bothSides" distT="57150" distB="57150" distL="57150" distR="57150"/>
            <wp:docPr id="1073741828" name="officeArt object" descr="Bilde 5"/>
            <wp:cNvGraphicFramePr/>
            <a:graphic xmlns:a="http://schemas.openxmlformats.org/drawingml/2006/main">
              <a:graphicData uri="http://schemas.openxmlformats.org/drawingml/2006/picture">
                <pic:pic xmlns:pic="http://schemas.openxmlformats.org/drawingml/2006/picture">
                  <pic:nvPicPr>
                    <pic:cNvPr id="1073741828" name="Bilde 5" descr="Bilde 5"/>
                    <pic:cNvPicPr>
                      <a:picLocks noChangeAspect="1"/>
                    </pic:cNvPicPr>
                  </pic:nvPicPr>
                  <pic:blipFill>
                    <a:blip r:embed="rId10"/>
                    <a:stretch>
                      <a:fillRect/>
                    </a:stretch>
                  </pic:blipFill>
                  <pic:spPr>
                    <a:xfrm>
                      <a:off x="0" y="0"/>
                      <a:ext cx="875204" cy="578329"/>
                    </a:xfrm>
                    <a:prstGeom prst="rect">
                      <a:avLst/>
                    </a:prstGeom>
                    <a:ln w="12700" cap="flat">
                      <a:noFill/>
                      <a:miter lim="400000"/>
                    </a:ln>
                    <a:effectLst/>
                  </pic:spPr>
                </pic:pic>
              </a:graphicData>
            </a:graphic>
          </wp:anchor>
        </w:drawing>
      </w:r>
    </w:p>
    <w:p w14:paraId="342EA638" w14:textId="77777777" w:rsidR="00932054" w:rsidRPr="00A87148" w:rsidRDefault="00932054">
      <w:pPr>
        <w:pStyle w:val="BrdtekstA"/>
      </w:pPr>
    </w:p>
    <w:p w14:paraId="5964D8D1" w14:textId="576AD174" w:rsidR="00932054" w:rsidRPr="00A87148" w:rsidRDefault="009A58F2">
      <w:pPr>
        <w:pStyle w:val="BrdtekstA"/>
        <w:rPr>
          <w:b/>
          <w:bCs/>
          <w:sz w:val="28"/>
          <w:szCs w:val="28"/>
        </w:rPr>
      </w:pPr>
      <w:r w:rsidRPr="00A87148">
        <w:rPr>
          <w:b/>
          <w:bCs/>
          <w:sz w:val="28"/>
          <w:szCs w:val="28"/>
        </w:rPr>
        <w:t>Velkommen til NM-VEKA langrenn</w:t>
      </w:r>
      <w:r w:rsidR="00CB1D20">
        <w:rPr>
          <w:b/>
          <w:bCs/>
          <w:sz w:val="28"/>
          <w:szCs w:val="28"/>
        </w:rPr>
        <w:t>, kombinert</w:t>
      </w:r>
      <w:r w:rsidRPr="00A87148">
        <w:rPr>
          <w:b/>
          <w:bCs/>
          <w:sz w:val="28"/>
          <w:szCs w:val="28"/>
        </w:rPr>
        <w:t xml:space="preserve"> og skiskyting i Trondheim 2021. </w:t>
      </w:r>
    </w:p>
    <w:p w14:paraId="0CDEBC0C" w14:textId="77777777" w:rsidR="00932054" w:rsidRPr="00A87148" w:rsidRDefault="009A58F2">
      <w:pPr>
        <w:pStyle w:val="BrdtekstA"/>
        <w:rPr>
          <w:sz w:val="24"/>
          <w:szCs w:val="24"/>
        </w:rPr>
      </w:pPr>
      <w:r w:rsidRPr="00A87148">
        <w:rPr>
          <w:sz w:val="24"/>
          <w:szCs w:val="24"/>
        </w:rPr>
        <w:t xml:space="preserve">Vi skal arrangere et mesterskap i midten av en pandemi, og dette skrivet inneholder viktig informasjon vi ber deg å sette deg inn i. </w:t>
      </w:r>
    </w:p>
    <w:p w14:paraId="63E4DA56" w14:textId="2C56D9D9" w:rsidR="00932054" w:rsidRDefault="009A58F2">
      <w:pPr>
        <w:pStyle w:val="BrdtekstA"/>
        <w:rPr>
          <w:i/>
          <w:iCs/>
          <w:sz w:val="24"/>
          <w:szCs w:val="24"/>
        </w:rPr>
      </w:pPr>
      <w:r w:rsidRPr="00A87148">
        <w:rPr>
          <w:b/>
          <w:bCs/>
          <w:sz w:val="24"/>
          <w:szCs w:val="24"/>
        </w:rPr>
        <w:t>Alle må sette seg inn i mesterskapets smittevernplan</w:t>
      </w:r>
      <w:r w:rsidRPr="00A87148">
        <w:rPr>
          <w:sz w:val="24"/>
          <w:szCs w:val="24"/>
        </w:rPr>
        <w:t>,</w:t>
      </w:r>
      <w:r w:rsidR="00CB1D20">
        <w:rPr>
          <w:sz w:val="24"/>
          <w:szCs w:val="24"/>
        </w:rPr>
        <w:t xml:space="preserve"> </w:t>
      </w:r>
      <w:r w:rsidRPr="00A87148">
        <w:rPr>
          <w:i/>
          <w:iCs/>
          <w:sz w:val="24"/>
          <w:szCs w:val="24"/>
        </w:rPr>
        <w:t>(</w:t>
      </w:r>
      <w:hyperlink r:id="rId11" w:history="1">
        <w:r w:rsidR="00CB1D20">
          <w:rPr>
            <w:rStyle w:val="Hyperkobling"/>
            <w:i/>
            <w:iCs/>
            <w:sz w:val="24"/>
            <w:szCs w:val="24"/>
          </w:rPr>
          <w:t>Klikk her</w:t>
        </w:r>
      </w:hyperlink>
      <w:r w:rsidRPr="00A87148">
        <w:rPr>
          <w:i/>
          <w:iCs/>
          <w:sz w:val="24"/>
          <w:szCs w:val="24"/>
        </w:rPr>
        <w:t>)</w:t>
      </w:r>
    </w:p>
    <w:p w14:paraId="1AF02403" w14:textId="17B25B5F" w:rsidR="009D3A0C" w:rsidRPr="009D3A0C" w:rsidRDefault="009D3A0C">
      <w:pPr>
        <w:pStyle w:val="BrdtekstA"/>
        <w:rPr>
          <w:sz w:val="24"/>
          <w:szCs w:val="24"/>
        </w:rPr>
      </w:pPr>
      <w:r>
        <w:rPr>
          <w:noProof/>
        </w:rPr>
        <mc:AlternateContent>
          <mc:Choice Requires="wps">
            <w:drawing>
              <wp:anchor distT="0" distB="0" distL="114300" distR="114300" simplePos="0" relativeHeight="251664384" behindDoc="0" locked="0" layoutInCell="1" allowOverlap="1" wp14:anchorId="30681445" wp14:editId="52E93497">
                <wp:simplePos x="0" y="0"/>
                <wp:positionH relativeFrom="column">
                  <wp:posOffset>0</wp:posOffset>
                </wp:positionH>
                <wp:positionV relativeFrom="paragraph">
                  <wp:posOffset>0</wp:posOffset>
                </wp:positionV>
                <wp:extent cx="5763600" cy="2703600"/>
                <wp:effectExtent l="12700" t="12700" r="8890" b="17145"/>
                <wp:wrapSquare wrapText="bothSides"/>
                <wp:docPr id="1" name="Tekstboks 1"/>
                <wp:cNvGraphicFramePr/>
                <a:graphic xmlns:a="http://schemas.openxmlformats.org/drawingml/2006/main">
                  <a:graphicData uri="http://schemas.microsoft.com/office/word/2010/wordprocessingShape">
                    <wps:wsp>
                      <wps:cNvSpPr txBox="1"/>
                      <wps:spPr>
                        <a:xfrm>
                          <a:off x="0" y="0"/>
                          <a:ext cx="5763600" cy="2703600"/>
                        </a:xfrm>
                        <a:prstGeom prst="rect">
                          <a:avLst/>
                        </a:prstGeom>
                        <a:solidFill>
                          <a:srgbClr val="C0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4BAAB24E" w14:textId="77777777" w:rsidR="009D3A0C" w:rsidRPr="009D3A0C" w:rsidRDefault="009D3A0C" w:rsidP="009D3A0C">
                            <w:pPr>
                              <w:rPr>
                                <w:rFonts w:ascii="Calibri" w:hAnsi="Calibri" w:cs="Calibri"/>
                                <w:b/>
                                <w:bCs/>
                                <w:lang w:val="nb-NO"/>
                              </w:rPr>
                            </w:pPr>
                            <w:r w:rsidRPr="009D3A0C">
                              <w:rPr>
                                <w:rFonts w:ascii="Calibri" w:hAnsi="Calibri" w:cs="Calibri"/>
                                <w:b/>
                                <w:bCs/>
                                <w:lang w:val="nb-NO"/>
                              </w:rPr>
                              <w:t>Obligatorisk testing av alle tilreisende</w:t>
                            </w:r>
                          </w:p>
                          <w:p w14:paraId="3311C123" w14:textId="77777777" w:rsidR="009D3A0C" w:rsidRDefault="009D3A0C" w:rsidP="009D3A0C">
                            <w:pPr>
                              <w:rPr>
                                <w:rFonts w:ascii="Calibri" w:hAnsi="Calibri" w:cs="Calibri"/>
                                <w:lang w:val="nb-NO"/>
                              </w:rPr>
                            </w:pPr>
                            <w:r w:rsidRPr="009D3A0C">
                              <w:rPr>
                                <w:rFonts w:ascii="Calibri" w:hAnsi="Calibri" w:cs="Calibri"/>
                                <w:lang w:val="nb-NO"/>
                              </w:rPr>
                              <w:t>På grunn av økende smitte i mange kommuner krever Trondheim kommune at alle tilreisende i forbindelse med NM-VEKA tester seg ved ankomst.</w:t>
                            </w:r>
                          </w:p>
                          <w:p w14:paraId="32C1F869" w14:textId="6F0F084B" w:rsidR="009D3A0C" w:rsidRPr="00CD653B" w:rsidRDefault="009D3A0C" w:rsidP="00CD653B">
                            <w:pPr>
                              <w:pStyle w:val="Listeavsnitt"/>
                              <w:numPr>
                                <w:ilvl w:val="0"/>
                                <w:numId w:val="7"/>
                              </w:numPr>
                              <w:rPr>
                                <w:rFonts w:cs="Calibri"/>
                                <w:color w:val="FFFFFF" w:themeColor="background1"/>
                                <w:sz w:val="24"/>
                                <w:szCs w:val="24"/>
                                <w:lang w:val="nb-NO"/>
                              </w:rPr>
                            </w:pPr>
                            <w:r w:rsidRPr="009D3A0C">
                              <w:rPr>
                                <w:rFonts w:cs="Calibri"/>
                                <w:color w:val="FFFFFF" w:themeColor="background1"/>
                                <w:sz w:val="24"/>
                                <w:szCs w:val="24"/>
                                <w:lang w:val="nb-NO"/>
                              </w:rPr>
                              <w:t>Tilgjengelig testing i Trondheim er på Leangen teststasjon («drive-</w:t>
                            </w:r>
                            <w:proofErr w:type="spellStart"/>
                            <w:r w:rsidRPr="009D3A0C">
                              <w:rPr>
                                <w:rFonts w:cs="Calibri"/>
                                <w:color w:val="FFFFFF" w:themeColor="background1"/>
                                <w:sz w:val="24"/>
                                <w:szCs w:val="24"/>
                                <w:lang w:val="nb-NO"/>
                              </w:rPr>
                              <w:t>thru</w:t>
                            </w:r>
                            <w:proofErr w:type="spellEnd"/>
                            <w:r w:rsidRPr="009D3A0C">
                              <w:rPr>
                                <w:rFonts w:cs="Calibri"/>
                                <w:color w:val="FFFFFF" w:themeColor="background1"/>
                                <w:sz w:val="24"/>
                                <w:szCs w:val="24"/>
                                <w:lang w:val="nb-NO"/>
                              </w:rPr>
                              <w:t xml:space="preserve">» løsning). Det vil være mulig å melde seg opp til test </w:t>
                            </w:r>
                            <w:proofErr w:type="spellStart"/>
                            <w:r w:rsidRPr="009D3A0C">
                              <w:rPr>
                                <w:rFonts w:cs="Calibri"/>
                                <w:color w:val="FFFFFF" w:themeColor="background1"/>
                                <w:sz w:val="24"/>
                                <w:szCs w:val="24"/>
                                <w:lang w:val="nb-NO"/>
                              </w:rPr>
                              <w:t>ca</w:t>
                            </w:r>
                            <w:proofErr w:type="spellEnd"/>
                            <w:r w:rsidRPr="009D3A0C">
                              <w:rPr>
                                <w:rFonts w:cs="Calibri"/>
                                <w:color w:val="FFFFFF" w:themeColor="background1"/>
                                <w:sz w:val="24"/>
                                <w:szCs w:val="24"/>
                                <w:lang w:val="nb-NO"/>
                              </w:rPr>
                              <w:t xml:space="preserve"> 1 uke på forhånd. Påmelding skjer via Trondheim kommunes koronaside:</w:t>
                            </w:r>
                            <w:r w:rsidR="00CD653B">
                              <w:rPr>
                                <w:rFonts w:cs="Calibri"/>
                                <w:color w:val="FFFFFF" w:themeColor="background1"/>
                                <w:sz w:val="24"/>
                                <w:szCs w:val="24"/>
                                <w:lang w:val="nb-NO"/>
                              </w:rPr>
                              <w:t xml:space="preserve"> </w:t>
                            </w:r>
                            <w:hyperlink r:id="rId12" w:history="1">
                              <w:r w:rsidR="00CD653B" w:rsidRPr="008D2C35">
                                <w:rPr>
                                  <w:rStyle w:val="Hyperkobling"/>
                                  <w:rFonts w:cs="Calibri"/>
                                  <w:sz w:val="24"/>
                                  <w:szCs w:val="24"/>
                                  <w:lang w:val="nb-NO"/>
                                </w:rPr>
                                <w:t>https://www.trondheim.kommune.no/aktuelt/korona-samleside/korona-hovedsak/slik-tar-du-test/</w:t>
                              </w:r>
                            </w:hyperlink>
                            <w:r w:rsidRPr="00CD653B">
                              <w:rPr>
                                <w:rFonts w:cs="Calibri"/>
                                <w:color w:val="FFFFFF" w:themeColor="background1"/>
                                <w:lang w:val="nb-NO"/>
                              </w:rPr>
                              <w:t xml:space="preserve"> </w:t>
                            </w:r>
                          </w:p>
                          <w:p w14:paraId="70933071" w14:textId="0EFCCAF1" w:rsidR="009D3A0C" w:rsidRPr="009D3A0C" w:rsidRDefault="009D3A0C" w:rsidP="009D3A0C">
                            <w:pPr>
                              <w:pStyle w:val="Listeavsnitt"/>
                              <w:numPr>
                                <w:ilvl w:val="1"/>
                                <w:numId w:val="7"/>
                              </w:numPr>
                              <w:rPr>
                                <w:rFonts w:cs="Calibri"/>
                                <w:color w:val="FFFFFF" w:themeColor="background1"/>
                                <w:sz w:val="24"/>
                                <w:szCs w:val="24"/>
                                <w:lang w:val="nb-NO"/>
                              </w:rPr>
                            </w:pPr>
                            <w:r w:rsidRPr="009D3A0C">
                              <w:rPr>
                                <w:rFonts w:cs="Calibri"/>
                                <w:color w:val="FFFFFF" w:themeColor="background1"/>
                                <w:sz w:val="24"/>
                                <w:szCs w:val="24"/>
                                <w:lang w:val="nb-NO"/>
                              </w:rPr>
                              <w:t>For de som kommer med fly, kan et alternativ være å ta en hurtigtest på Gardemoen.</w:t>
                            </w:r>
                          </w:p>
                          <w:p w14:paraId="13024131" w14:textId="60EC16F7" w:rsidR="009D3A0C" w:rsidRPr="009D3A0C" w:rsidRDefault="009D3A0C" w:rsidP="00CD653B">
                            <w:pPr>
                              <w:pStyle w:val="Listeavsnitt"/>
                              <w:numPr>
                                <w:ilvl w:val="1"/>
                                <w:numId w:val="7"/>
                              </w:numPr>
                              <w:rPr>
                                <w:rFonts w:cs="Calibri"/>
                                <w:color w:val="FFFFFF" w:themeColor="background1"/>
                                <w:sz w:val="24"/>
                                <w:szCs w:val="24"/>
                                <w:lang w:val="nb-NO"/>
                              </w:rPr>
                            </w:pPr>
                            <w:r w:rsidRPr="009D3A0C">
                              <w:rPr>
                                <w:rFonts w:cs="Calibri"/>
                                <w:color w:val="FFFFFF" w:themeColor="background1"/>
                                <w:sz w:val="24"/>
                                <w:szCs w:val="24"/>
                                <w:lang w:val="nb-NO"/>
                              </w:rPr>
                              <w:t>Det gjøres unntak for de som siste 6 måneder har testet positivt med PCR test. OBS! Dokumentasjon må medbringes og fremvises.</w:t>
                            </w:r>
                          </w:p>
                          <w:p w14:paraId="59B6574F" w14:textId="77777777" w:rsidR="009D3A0C" w:rsidRPr="007A1467" w:rsidRDefault="009D3A0C" w:rsidP="007A1467">
                            <w:pPr>
                              <w:rPr>
                                <w:rFonts w:ascii="Calibri" w:hAnsi="Calibri" w:cs="Calibri"/>
                              </w:rPr>
                            </w:pPr>
                            <w:r w:rsidRPr="009D3A0C">
                              <w:rPr>
                                <w:rFonts w:ascii="Calibri" w:hAnsi="Calibri" w:cs="Calibri"/>
                                <w:lang w:val="nb-NO"/>
                              </w:rPr>
                              <w:t>NB! Vi vil minne om at en negativ test ikke er en garanti for at du ikke er smittet og dermed kan teste positivt på et senere tidspunkt. Smittevernreglene må derfor fortsatt følges som beskrevet i smittevernplanen.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681445" id="_x0000_t202" coordsize="21600,21600" o:spt="202" path="m,l,21600r21600,l21600,xe">
                <v:stroke joinstyle="miter"/>
                <v:path gradientshapeok="t" o:connecttype="rect"/>
              </v:shapetype>
              <v:shape id="Tekstboks 1" o:spid="_x0000_s1026" type="#_x0000_t202" style="position:absolute;margin-left:0;margin-top:0;width:453.85pt;height:212.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" fillcolor="#c00000" strokecolor="#823b0b [1605]" strokeweight="2pt">
                <v:textbox style="mso-fit-shape-to-text:t">
                  <w:txbxContent>
                    <w:p w14:paraId="4BAAB24E" w14:textId="77777777" w:rsidR="009D3A0C" w:rsidRPr="009D3A0C" w:rsidRDefault="009D3A0C" w:rsidP="009D3A0C">
                      <w:pPr>
                        <w:rPr>
                          <w:rFonts w:ascii="Calibri" w:hAnsi="Calibri" w:cs="Calibri"/>
                          <w:b/>
                          <w:bCs/>
                          <w:lang w:val="nb-NO"/>
                        </w:rPr>
                      </w:pPr>
                      <w:r w:rsidRPr="009D3A0C">
                        <w:rPr>
                          <w:rFonts w:ascii="Calibri" w:hAnsi="Calibri" w:cs="Calibri"/>
                          <w:b/>
                          <w:bCs/>
                          <w:lang w:val="nb-NO"/>
                        </w:rPr>
                        <w:t>Obligatorisk testing av alle tilreisende</w:t>
                      </w:r>
                    </w:p>
                    <w:p w14:paraId="3311C123" w14:textId="77777777" w:rsidR="009D3A0C" w:rsidRDefault="009D3A0C" w:rsidP="009D3A0C">
                      <w:pPr>
                        <w:rPr>
                          <w:rFonts w:ascii="Calibri" w:hAnsi="Calibri" w:cs="Calibri"/>
                          <w:lang w:val="nb-NO"/>
                        </w:rPr>
                      </w:pPr>
                      <w:r w:rsidRPr="009D3A0C">
                        <w:rPr>
                          <w:rFonts w:ascii="Calibri" w:hAnsi="Calibri" w:cs="Calibri"/>
                          <w:lang w:val="nb-NO"/>
                        </w:rPr>
                        <w:t>På grunn av økende smitte i mange kommuner krever Trondheim kommune at alle tilreisende i forbindelse med NM-VEKA tester seg ved ankomst.</w:t>
                      </w:r>
                    </w:p>
                    <w:p w14:paraId="32C1F869" w14:textId="6F0F084B" w:rsidR="009D3A0C" w:rsidRPr="00CD653B" w:rsidRDefault="009D3A0C" w:rsidP="00CD653B">
                      <w:pPr>
                        <w:pStyle w:val="Listeavsnitt"/>
                        <w:numPr>
                          <w:ilvl w:val="0"/>
                          <w:numId w:val="7"/>
                        </w:numPr>
                        <w:rPr>
                          <w:rFonts w:cs="Calibri"/>
                          <w:color w:val="FFFFFF" w:themeColor="background1"/>
                          <w:sz w:val="24"/>
                          <w:szCs w:val="24"/>
                          <w:lang w:val="nb-NO"/>
                        </w:rPr>
                      </w:pPr>
                      <w:r w:rsidRPr="009D3A0C">
                        <w:rPr>
                          <w:rFonts w:cs="Calibri"/>
                          <w:color w:val="FFFFFF" w:themeColor="background1"/>
                          <w:sz w:val="24"/>
                          <w:szCs w:val="24"/>
                          <w:lang w:val="nb-NO"/>
                        </w:rPr>
                        <w:t>Tilgjengelig testing i Trondheim er på Leangen teststasjon («drive-</w:t>
                      </w:r>
                      <w:proofErr w:type="spellStart"/>
                      <w:r w:rsidRPr="009D3A0C">
                        <w:rPr>
                          <w:rFonts w:cs="Calibri"/>
                          <w:color w:val="FFFFFF" w:themeColor="background1"/>
                          <w:sz w:val="24"/>
                          <w:szCs w:val="24"/>
                          <w:lang w:val="nb-NO"/>
                        </w:rPr>
                        <w:t>thru</w:t>
                      </w:r>
                      <w:proofErr w:type="spellEnd"/>
                      <w:r w:rsidRPr="009D3A0C">
                        <w:rPr>
                          <w:rFonts w:cs="Calibri"/>
                          <w:color w:val="FFFFFF" w:themeColor="background1"/>
                          <w:sz w:val="24"/>
                          <w:szCs w:val="24"/>
                          <w:lang w:val="nb-NO"/>
                        </w:rPr>
                        <w:t xml:space="preserve">» løsning). Det vil være mulig å melde seg opp til test </w:t>
                      </w:r>
                      <w:proofErr w:type="spellStart"/>
                      <w:r w:rsidRPr="009D3A0C">
                        <w:rPr>
                          <w:rFonts w:cs="Calibri"/>
                          <w:color w:val="FFFFFF" w:themeColor="background1"/>
                          <w:sz w:val="24"/>
                          <w:szCs w:val="24"/>
                          <w:lang w:val="nb-NO"/>
                        </w:rPr>
                        <w:t>ca</w:t>
                      </w:r>
                      <w:proofErr w:type="spellEnd"/>
                      <w:r w:rsidRPr="009D3A0C">
                        <w:rPr>
                          <w:rFonts w:cs="Calibri"/>
                          <w:color w:val="FFFFFF" w:themeColor="background1"/>
                          <w:sz w:val="24"/>
                          <w:szCs w:val="24"/>
                          <w:lang w:val="nb-NO"/>
                        </w:rPr>
                        <w:t xml:space="preserve"> 1 uke på forhånd. Påmelding skjer via Trondheim kommunes koronaside:</w:t>
                      </w:r>
                      <w:r w:rsidR="00CD653B">
                        <w:rPr>
                          <w:rFonts w:cs="Calibri"/>
                          <w:color w:val="FFFFFF" w:themeColor="background1"/>
                          <w:sz w:val="24"/>
                          <w:szCs w:val="24"/>
                          <w:lang w:val="nb-NO"/>
                        </w:rPr>
                        <w:t xml:space="preserve"> </w:t>
                      </w:r>
                      <w:hyperlink r:id="rId13" w:history="1">
                        <w:r w:rsidR="00CD653B" w:rsidRPr="008D2C35">
                          <w:rPr>
                            <w:rStyle w:val="Hyperkobling"/>
                            <w:rFonts w:cs="Calibri"/>
                            <w:sz w:val="24"/>
                            <w:szCs w:val="24"/>
                            <w:lang w:val="nb-NO"/>
                          </w:rPr>
                          <w:t>https://www.trondheim.kommune.no/aktuelt/korona-samleside/korona-hovedsak/slik-tar-du-test/</w:t>
                        </w:r>
                      </w:hyperlink>
                      <w:r w:rsidRPr="00CD653B">
                        <w:rPr>
                          <w:rFonts w:cs="Calibri"/>
                          <w:color w:val="FFFFFF" w:themeColor="background1"/>
                          <w:lang w:val="nb-NO"/>
                        </w:rPr>
                        <w:t xml:space="preserve"> </w:t>
                      </w:r>
                    </w:p>
                    <w:p w14:paraId="70933071" w14:textId="0EFCCAF1" w:rsidR="009D3A0C" w:rsidRPr="009D3A0C" w:rsidRDefault="009D3A0C" w:rsidP="009D3A0C">
                      <w:pPr>
                        <w:pStyle w:val="Listeavsnitt"/>
                        <w:numPr>
                          <w:ilvl w:val="1"/>
                          <w:numId w:val="7"/>
                        </w:numPr>
                        <w:rPr>
                          <w:rFonts w:cs="Calibri"/>
                          <w:color w:val="FFFFFF" w:themeColor="background1"/>
                          <w:sz w:val="24"/>
                          <w:szCs w:val="24"/>
                          <w:lang w:val="nb-NO"/>
                        </w:rPr>
                      </w:pPr>
                      <w:r w:rsidRPr="009D3A0C">
                        <w:rPr>
                          <w:rFonts w:cs="Calibri"/>
                          <w:color w:val="FFFFFF" w:themeColor="background1"/>
                          <w:sz w:val="24"/>
                          <w:szCs w:val="24"/>
                          <w:lang w:val="nb-NO"/>
                        </w:rPr>
                        <w:t>For de som kommer med fly, kan et alternativ være å ta en hurtigtest på Gardemoen.</w:t>
                      </w:r>
                    </w:p>
                    <w:p w14:paraId="13024131" w14:textId="60EC16F7" w:rsidR="009D3A0C" w:rsidRPr="009D3A0C" w:rsidRDefault="009D3A0C" w:rsidP="00CD653B">
                      <w:pPr>
                        <w:pStyle w:val="Listeavsnitt"/>
                        <w:numPr>
                          <w:ilvl w:val="1"/>
                          <w:numId w:val="7"/>
                        </w:numPr>
                        <w:rPr>
                          <w:rFonts w:cs="Calibri"/>
                          <w:color w:val="FFFFFF" w:themeColor="background1"/>
                          <w:sz w:val="24"/>
                          <w:szCs w:val="24"/>
                          <w:lang w:val="nb-NO"/>
                        </w:rPr>
                      </w:pPr>
                      <w:r w:rsidRPr="009D3A0C">
                        <w:rPr>
                          <w:rFonts w:cs="Calibri"/>
                          <w:color w:val="FFFFFF" w:themeColor="background1"/>
                          <w:sz w:val="24"/>
                          <w:szCs w:val="24"/>
                          <w:lang w:val="nb-NO"/>
                        </w:rPr>
                        <w:t>Det gjøres unntak for de som siste 6 måneder har testet positivt med PCR test. OBS! Dokumentasjon må medbringes og fremvises.</w:t>
                      </w:r>
                    </w:p>
                    <w:p w14:paraId="59B6574F" w14:textId="77777777" w:rsidR="009D3A0C" w:rsidRPr="007A1467" w:rsidRDefault="009D3A0C" w:rsidP="007A1467">
                      <w:pPr>
                        <w:rPr>
                          <w:rFonts w:ascii="Calibri" w:hAnsi="Calibri" w:cs="Calibri"/>
                        </w:rPr>
                      </w:pPr>
                      <w:r w:rsidRPr="009D3A0C">
                        <w:rPr>
                          <w:rFonts w:ascii="Calibri" w:hAnsi="Calibri" w:cs="Calibri"/>
                          <w:lang w:val="nb-NO"/>
                        </w:rPr>
                        <w:t>NB! Vi vil minne om at en negativ test ikke er en garanti for at du ikke er smittet og dermed kan teste positivt på et senere tidspunkt. Smittevernreglene må derfor fortsatt følges som beskrevet i smittevernplanen.</w:t>
                      </w:r>
                    </w:p>
                  </w:txbxContent>
                </v:textbox>
                <w10:wrap type="square"/>
              </v:shape>
            </w:pict>
          </mc:Fallback>
        </mc:AlternateContent>
      </w:r>
    </w:p>
    <w:p w14:paraId="5D991020" w14:textId="47DBA205" w:rsidR="00932054" w:rsidRPr="00A87148" w:rsidRDefault="009A58F2">
      <w:pPr>
        <w:pStyle w:val="BrdtekstA"/>
        <w:rPr>
          <w:b/>
          <w:bCs/>
          <w:sz w:val="24"/>
          <w:szCs w:val="24"/>
          <w:u w:val="single"/>
        </w:rPr>
      </w:pPr>
      <w:r w:rsidRPr="00A87148">
        <w:rPr>
          <w:b/>
          <w:bCs/>
          <w:sz w:val="24"/>
          <w:szCs w:val="24"/>
          <w:u w:val="single"/>
        </w:rPr>
        <w:t>Merk spesielt følgende</w:t>
      </w:r>
      <w:r w:rsidR="009D3A0C">
        <w:rPr>
          <w:b/>
          <w:bCs/>
          <w:sz w:val="24"/>
          <w:szCs w:val="24"/>
          <w:u w:val="single"/>
        </w:rPr>
        <w:t xml:space="preserve"> punkter i smittevernplanen:</w:t>
      </w:r>
    </w:p>
    <w:p w14:paraId="4C521EEA" w14:textId="0AF4E9B1" w:rsidR="00A87148" w:rsidRPr="00A87148" w:rsidRDefault="009A58F2" w:rsidP="00A87148">
      <w:pPr>
        <w:pStyle w:val="Listeavsnitt"/>
        <w:numPr>
          <w:ilvl w:val="0"/>
          <w:numId w:val="2"/>
        </w:numPr>
        <w:spacing w:before="120" w:after="0" w:line="240" w:lineRule="auto"/>
        <w:ind w:left="714" w:hanging="357"/>
        <w:rPr>
          <w:b/>
          <w:bCs/>
          <w:sz w:val="24"/>
          <w:szCs w:val="24"/>
          <w:lang w:val="nb-NO"/>
        </w:rPr>
      </w:pPr>
      <w:r w:rsidRPr="00A87148">
        <w:rPr>
          <w:sz w:val="24"/>
          <w:szCs w:val="24"/>
          <w:lang w:val="nb-NO"/>
        </w:rPr>
        <w:t xml:space="preserve">NM-VEKA 2021 er forbeholdt løpere som er startberettiget i henhold til NSF og NSSF sine kriterier og ledere/støtteapparat som er akkreditert til arenaen i henhold til kvoter fastsatt av NSF og NSSF. </w:t>
      </w:r>
      <w:r w:rsidRPr="00A87148">
        <w:rPr>
          <w:b/>
          <w:bCs/>
          <w:sz w:val="24"/>
          <w:szCs w:val="24"/>
          <w:lang w:val="nb-NO"/>
        </w:rPr>
        <w:t>Personer utenfor kvoten som er akkreditert til arenaen henstilles om ikke å reise til Trondheim i forbindelse med mesterskapet.</w:t>
      </w:r>
    </w:p>
    <w:p w14:paraId="721A5E81" w14:textId="77777777" w:rsidR="00A87148" w:rsidRDefault="009A58F2" w:rsidP="00A87148">
      <w:pPr>
        <w:pStyle w:val="Listeavsnitt"/>
        <w:numPr>
          <w:ilvl w:val="0"/>
          <w:numId w:val="2"/>
        </w:numPr>
        <w:spacing w:before="120" w:after="0" w:line="240" w:lineRule="auto"/>
        <w:ind w:left="714" w:hanging="357"/>
        <w:rPr>
          <w:sz w:val="24"/>
          <w:szCs w:val="24"/>
          <w:lang w:val="nb-NO"/>
        </w:rPr>
      </w:pPr>
      <w:r w:rsidRPr="00A87148">
        <w:rPr>
          <w:sz w:val="24"/>
          <w:szCs w:val="24"/>
          <w:lang w:val="nb-NO"/>
        </w:rPr>
        <w:t>Dersom du er i karantene eller er hustandsmedlem til personer i karantene, eller har forkjølelseslignende symptomer i dagene før avreise, skal du holde deg hjemme</w:t>
      </w:r>
      <w:r w:rsidR="00A87148">
        <w:rPr>
          <w:sz w:val="24"/>
          <w:szCs w:val="24"/>
          <w:lang w:val="nb-NO"/>
        </w:rPr>
        <w:t>.</w:t>
      </w:r>
    </w:p>
    <w:p w14:paraId="0A5133BB" w14:textId="56E6714E" w:rsidR="00A87148" w:rsidRPr="00A87148" w:rsidRDefault="00A87148" w:rsidP="00A87148">
      <w:pPr>
        <w:pStyle w:val="Listeavsnitt"/>
        <w:numPr>
          <w:ilvl w:val="0"/>
          <w:numId w:val="2"/>
        </w:numPr>
        <w:spacing w:before="120" w:line="240" w:lineRule="auto"/>
        <w:ind w:left="714" w:hanging="357"/>
        <w:rPr>
          <w:sz w:val="24"/>
          <w:szCs w:val="24"/>
          <w:lang w:val="nb-NO"/>
        </w:rPr>
      </w:pPr>
      <w:r>
        <w:rPr>
          <w:sz w:val="24"/>
          <w:szCs w:val="24"/>
          <w:lang w:val="nb-NO"/>
        </w:rPr>
        <w:t>Du</w:t>
      </w:r>
      <w:r w:rsidRPr="00A87148">
        <w:rPr>
          <w:sz w:val="24"/>
          <w:szCs w:val="24"/>
          <w:lang w:val="nb-NO"/>
        </w:rPr>
        <w:t xml:space="preserve"> oppfordres til selvpålagt begrensing av nærkontakter 10 dager før NM-VEKA og i tiden NM-VEKA pågår.</w:t>
      </w:r>
    </w:p>
    <w:p w14:paraId="7C622F24" w14:textId="4F1A0540" w:rsidR="00932054" w:rsidRPr="00A87148" w:rsidRDefault="00A87148" w:rsidP="00A87148">
      <w:pPr>
        <w:pStyle w:val="Listeavsnitt"/>
        <w:numPr>
          <w:ilvl w:val="0"/>
          <w:numId w:val="2"/>
        </w:numPr>
        <w:spacing w:before="120" w:line="240" w:lineRule="auto"/>
        <w:ind w:left="714" w:hanging="357"/>
        <w:rPr>
          <w:sz w:val="24"/>
          <w:szCs w:val="24"/>
          <w:lang w:val="nb-NO"/>
        </w:rPr>
      </w:pPr>
      <w:r>
        <w:rPr>
          <w:sz w:val="24"/>
          <w:szCs w:val="24"/>
          <w:lang w:val="nb-NO"/>
        </w:rPr>
        <w:t>Dere som tilre</w:t>
      </w:r>
      <w:r w:rsidR="00CD653B">
        <w:rPr>
          <w:sz w:val="24"/>
          <w:szCs w:val="24"/>
          <w:lang w:val="nb-NO"/>
        </w:rPr>
        <w:t>i</w:t>
      </w:r>
      <w:r>
        <w:rPr>
          <w:sz w:val="24"/>
          <w:szCs w:val="24"/>
          <w:lang w:val="nb-NO"/>
        </w:rPr>
        <w:t>sende</w:t>
      </w:r>
      <w:r w:rsidRPr="00A87148">
        <w:rPr>
          <w:sz w:val="24"/>
          <w:szCs w:val="24"/>
          <w:lang w:val="nb-NO"/>
        </w:rPr>
        <w:t xml:space="preserve"> i hvert </w:t>
      </w:r>
      <w:r>
        <w:rPr>
          <w:sz w:val="24"/>
          <w:szCs w:val="24"/>
          <w:lang w:val="nb-NO"/>
        </w:rPr>
        <w:t xml:space="preserve">sitt </w:t>
      </w:r>
      <w:r w:rsidRPr="00A87148">
        <w:rPr>
          <w:sz w:val="24"/>
          <w:szCs w:val="24"/>
          <w:lang w:val="nb-NO"/>
        </w:rPr>
        <w:t>NM (langrenn/kombinert/skiskyting) tilhører en kohort som omfatter kun eget NM under hele NM-VEKA. Det oppfordres sterkt til at dette overholdes både under og mellom arrangementene.</w:t>
      </w:r>
    </w:p>
    <w:p w14:paraId="5DB7786E" w14:textId="0A430D27" w:rsidR="00932054" w:rsidRPr="00A87148" w:rsidRDefault="009A58F2" w:rsidP="00A87148">
      <w:pPr>
        <w:pStyle w:val="Listeavsnitt"/>
        <w:numPr>
          <w:ilvl w:val="0"/>
          <w:numId w:val="2"/>
        </w:numPr>
        <w:spacing w:before="120" w:after="0" w:line="240" w:lineRule="auto"/>
        <w:ind w:left="714" w:hanging="357"/>
        <w:rPr>
          <w:sz w:val="24"/>
          <w:szCs w:val="24"/>
          <w:lang w:val="nb-NO"/>
        </w:rPr>
      </w:pPr>
      <w:r w:rsidRPr="00A87148">
        <w:rPr>
          <w:sz w:val="24"/>
          <w:szCs w:val="24"/>
          <w:lang w:val="nb-NO"/>
        </w:rPr>
        <w:lastRenderedPageBreak/>
        <w:t>Løpere, ledere og andre tilreisende skal registrere bosted, reisedetaljer og kontaktinformasjon via link som sendes ut via arrangør og legges tilgjengelig på nettsiden. Registreringen må gjøres før du får akkreditering og tilgang til arenaen.</w:t>
      </w:r>
    </w:p>
    <w:p w14:paraId="6293F3A5" w14:textId="77777777" w:rsidR="00932054" w:rsidRPr="00A87148" w:rsidRDefault="009A58F2" w:rsidP="00A87148">
      <w:pPr>
        <w:pStyle w:val="Listeavsnitt"/>
        <w:numPr>
          <w:ilvl w:val="0"/>
          <w:numId w:val="2"/>
        </w:numPr>
        <w:spacing w:before="120" w:after="0" w:line="240" w:lineRule="auto"/>
        <w:ind w:left="714" w:hanging="357"/>
        <w:rPr>
          <w:sz w:val="24"/>
          <w:szCs w:val="24"/>
          <w:lang w:val="nb-NO"/>
        </w:rPr>
      </w:pPr>
      <w:r w:rsidRPr="00A87148">
        <w:rPr>
          <w:sz w:val="24"/>
          <w:szCs w:val="24"/>
          <w:lang w:val="nb-NO"/>
        </w:rPr>
        <w:t>Dersom du blir syk eller får forkjølelseslignende symptomer under oppholdet i Trondheim, skal du umiddelbart gi melding til arrangør/rennlege og oppholde deg på hotellrommet/bosted uten kontakt med andre inntil test er foretatt og videre håndtering av situasjonen er avklart.</w:t>
      </w:r>
    </w:p>
    <w:p w14:paraId="60F6D90E" w14:textId="77777777" w:rsidR="00932054" w:rsidRPr="00A87148" w:rsidRDefault="009A58F2" w:rsidP="00A87148">
      <w:pPr>
        <w:pStyle w:val="Listeavsnitt"/>
        <w:numPr>
          <w:ilvl w:val="0"/>
          <w:numId w:val="4"/>
        </w:numPr>
        <w:spacing w:before="120" w:after="0" w:line="240" w:lineRule="auto"/>
        <w:ind w:left="714" w:hanging="357"/>
        <w:rPr>
          <w:sz w:val="24"/>
          <w:szCs w:val="24"/>
          <w:lang w:val="nb-NO"/>
        </w:rPr>
      </w:pPr>
      <w:r w:rsidRPr="00A87148">
        <w:rPr>
          <w:sz w:val="24"/>
          <w:szCs w:val="24"/>
          <w:lang w:val="nb-NO"/>
        </w:rPr>
        <w:t xml:space="preserve">Vi oppfordrer alle til å </w:t>
      </w:r>
      <w:r w:rsidRPr="00A87148">
        <w:rPr>
          <w:b/>
          <w:bCs/>
          <w:sz w:val="24"/>
          <w:szCs w:val="24"/>
          <w:lang w:val="nb-NO"/>
        </w:rPr>
        <w:t>ikke</w:t>
      </w:r>
      <w:r w:rsidRPr="00A87148">
        <w:rPr>
          <w:sz w:val="24"/>
          <w:szCs w:val="24"/>
          <w:lang w:val="nb-NO"/>
        </w:rPr>
        <w:t xml:space="preserve"> bruke offentlig transport. Det vil være god tilgang til parkering (inndelt pr kohort) i Granåsen</w:t>
      </w:r>
    </w:p>
    <w:p w14:paraId="78F1DF4D" w14:textId="77777777" w:rsidR="00932054" w:rsidRPr="00A87148" w:rsidRDefault="009A58F2" w:rsidP="00A87148">
      <w:pPr>
        <w:pStyle w:val="Listeavsnitt"/>
        <w:numPr>
          <w:ilvl w:val="0"/>
          <w:numId w:val="4"/>
        </w:numPr>
        <w:spacing w:before="120" w:after="0" w:line="240" w:lineRule="auto"/>
        <w:ind w:left="714" w:hanging="357"/>
        <w:rPr>
          <w:sz w:val="24"/>
          <w:szCs w:val="24"/>
          <w:lang w:val="nb-NO"/>
        </w:rPr>
      </w:pPr>
      <w:r w:rsidRPr="00A87148">
        <w:rPr>
          <w:sz w:val="24"/>
          <w:szCs w:val="24"/>
          <w:lang w:val="nb-NO"/>
        </w:rPr>
        <w:t>Måltider inntas primært på hotell/bosted. Tilreisende oppfordres til ikke å benytte restauranter/spisesteder utenfor eget hotell dersom dette ikke er nødvendig.</w:t>
      </w:r>
    </w:p>
    <w:p w14:paraId="7210786B" w14:textId="77777777" w:rsidR="00932054" w:rsidRPr="00A87148" w:rsidRDefault="009A58F2" w:rsidP="00A87148">
      <w:pPr>
        <w:pStyle w:val="Listeavsnitt"/>
        <w:numPr>
          <w:ilvl w:val="0"/>
          <w:numId w:val="4"/>
        </w:numPr>
        <w:spacing w:before="120" w:after="0" w:line="240" w:lineRule="auto"/>
        <w:ind w:left="714" w:hanging="357"/>
        <w:rPr>
          <w:sz w:val="24"/>
          <w:szCs w:val="24"/>
          <w:lang w:val="nb-NO"/>
        </w:rPr>
      </w:pPr>
      <w:r w:rsidRPr="00A87148">
        <w:rPr>
          <w:sz w:val="24"/>
          <w:szCs w:val="24"/>
          <w:lang w:val="nb-NO"/>
        </w:rPr>
        <w:t>Sosial kontakt utover egen gruppe/lag/reisefølge må begrenses</w:t>
      </w:r>
      <w:r w:rsidRPr="00A87148">
        <w:rPr>
          <w:sz w:val="24"/>
          <w:szCs w:val="24"/>
          <w:lang w:val="nb-NO"/>
        </w:rPr>
        <w:br/>
      </w:r>
    </w:p>
    <w:p w14:paraId="7CE88CFD" w14:textId="77777777" w:rsidR="00932054" w:rsidRPr="00A87148" w:rsidRDefault="009A58F2" w:rsidP="00A87148">
      <w:pPr>
        <w:pStyle w:val="Listeavsnitt"/>
        <w:numPr>
          <w:ilvl w:val="0"/>
          <w:numId w:val="4"/>
        </w:numPr>
        <w:spacing w:before="120" w:after="0" w:line="240" w:lineRule="auto"/>
        <w:ind w:left="714" w:hanging="357"/>
        <w:rPr>
          <w:sz w:val="24"/>
          <w:szCs w:val="24"/>
          <w:lang w:val="nb-NO"/>
        </w:rPr>
      </w:pPr>
      <w:r w:rsidRPr="00A87148">
        <w:rPr>
          <w:sz w:val="24"/>
          <w:szCs w:val="24"/>
          <w:lang w:val="nb-NO"/>
        </w:rPr>
        <w:t xml:space="preserve">Hver gang man kommer til sin sone eller entrer en ny sone dersom det er nødvendig (bygg eller utendørs) må man registrere seg via QR-kode, og på samme måte registrere seg ut når man forlater sonen. Dette for å lette eventuell smittesporing. </w:t>
      </w:r>
    </w:p>
    <w:p w14:paraId="0075CA50" w14:textId="77777777" w:rsidR="00932054" w:rsidRPr="00A87148" w:rsidRDefault="009A58F2" w:rsidP="00A87148">
      <w:pPr>
        <w:pStyle w:val="Listeavsnitt"/>
        <w:numPr>
          <w:ilvl w:val="0"/>
          <w:numId w:val="4"/>
        </w:numPr>
        <w:spacing w:before="120" w:line="240" w:lineRule="auto"/>
        <w:ind w:left="714" w:hanging="357"/>
        <w:rPr>
          <w:sz w:val="24"/>
          <w:szCs w:val="24"/>
          <w:lang w:val="nb-NO"/>
        </w:rPr>
      </w:pPr>
      <w:r w:rsidRPr="00A87148">
        <w:rPr>
          <w:sz w:val="24"/>
          <w:szCs w:val="24"/>
          <w:lang w:val="nb-NO"/>
        </w:rPr>
        <w:t xml:space="preserve">Vi skal til enhver tid holde 1 meter mellom enkeltpersoner, og 2 meter mellom kohorter. </w:t>
      </w:r>
    </w:p>
    <w:p w14:paraId="41DF110A" w14:textId="05FED528" w:rsidR="00932054" w:rsidRPr="00A87148" w:rsidRDefault="009A58F2" w:rsidP="00A87148">
      <w:pPr>
        <w:pStyle w:val="Listeavsnitt"/>
        <w:numPr>
          <w:ilvl w:val="0"/>
          <w:numId w:val="4"/>
        </w:numPr>
        <w:spacing w:before="120" w:line="240" w:lineRule="auto"/>
        <w:ind w:left="714" w:hanging="357"/>
        <w:rPr>
          <w:sz w:val="24"/>
          <w:szCs w:val="24"/>
          <w:lang w:val="nb-NO"/>
        </w:rPr>
      </w:pPr>
      <w:r w:rsidRPr="00A87148">
        <w:rPr>
          <w:sz w:val="24"/>
          <w:szCs w:val="24"/>
          <w:lang w:val="nb-NO"/>
        </w:rPr>
        <w:t>Munnbind skal brukes av alle personer som oppholder seg i arrangementsområdet hvor man ikke med sikkerhet kan overholde minimum 1 meter avstand i en kontakt med andre som varer i mer enn 2 min. Enkelte vil være pålagt å bruke munnbind i gitte situasjoner. Se hvilke under. Det er viktig at munnbind brukes riktig og instruks</w:t>
      </w:r>
      <w:r w:rsidR="00A87148">
        <w:rPr>
          <w:sz w:val="24"/>
          <w:szCs w:val="24"/>
          <w:lang w:val="nb-NO"/>
        </w:rPr>
        <w:t>jon</w:t>
      </w:r>
      <w:r w:rsidRPr="00A87148">
        <w:rPr>
          <w:sz w:val="24"/>
          <w:szCs w:val="24"/>
          <w:lang w:val="nb-NO"/>
        </w:rPr>
        <w:t xml:space="preserve"> publiseres på hjemmeside. </w:t>
      </w:r>
    </w:p>
    <w:p w14:paraId="259D8C65" w14:textId="77777777" w:rsidR="00932054" w:rsidRPr="00A87148" w:rsidRDefault="009A58F2" w:rsidP="00A87148">
      <w:pPr>
        <w:pStyle w:val="Listeavsnitt"/>
        <w:numPr>
          <w:ilvl w:val="0"/>
          <w:numId w:val="4"/>
        </w:numPr>
        <w:spacing w:before="120" w:line="240" w:lineRule="auto"/>
        <w:ind w:left="714" w:hanging="357"/>
        <w:rPr>
          <w:sz w:val="24"/>
          <w:szCs w:val="24"/>
          <w:lang w:val="nb-NO"/>
        </w:rPr>
      </w:pPr>
      <w:r w:rsidRPr="00A87148">
        <w:rPr>
          <w:sz w:val="24"/>
          <w:szCs w:val="24"/>
          <w:lang w:val="nb-NO"/>
        </w:rPr>
        <w:t xml:space="preserve">Det vil ikke være etablert et eget serveringssted. </w:t>
      </w:r>
    </w:p>
    <w:p w14:paraId="281FC2E1" w14:textId="77777777" w:rsidR="00932054" w:rsidRPr="00A87148" w:rsidRDefault="009A58F2" w:rsidP="00A87148">
      <w:pPr>
        <w:pStyle w:val="Listeavsnitt"/>
        <w:numPr>
          <w:ilvl w:val="0"/>
          <w:numId w:val="4"/>
        </w:numPr>
        <w:spacing w:before="120" w:line="240" w:lineRule="auto"/>
        <w:ind w:left="714" w:hanging="357"/>
        <w:rPr>
          <w:sz w:val="24"/>
          <w:szCs w:val="24"/>
          <w:lang w:val="nb-NO"/>
        </w:rPr>
      </w:pPr>
      <w:r w:rsidRPr="00A87148">
        <w:rPr>
          <w:sz w:val="24"/>
          <w:szCs w:val="24"/>
          <w:lang w:val="nb-NO"/>
        </w:rPr>
        <w:t>Det er ikke åpent for publikum. Det betyr at unødvendig opphold i arenaen utenom egen deltagelse og forberedelse til konkurranser ikke er tillatt.</w:t>
      </w:r>
    </w:p>
    <w:p w14:paraId="2EF1F9B1" w14:textId="56A47D4A" w:rsidR="00932054" w:rsidRPr="00A87148" w:rsidRDefault="00932054">
      <w:pPr>
        <w:pStyle w:val="Listeavsnitt"/>
        <w:spacing w:after="0" w:line="240" w:lineRule="auto"/>
        <w:ind w:left="0"/>
        <w:rPr>
          <w:sz w:val="24"/>
          <w:szCs w:val="24"/>
          <w:lang w:val="nb-NO"/>
        </w:rPr>
      </w:pPr>
    </w:p>
    <w:p w14:paraId="1404B7D9" w14:textId="23B735F8" w:rsidR="00932054" w:rsidRPr="00A87148" w:rsidRDefault="009A58F2">
      <w:pPr>
        <w:pStyle w:val="Listeavsnitt"/>
        <w:spacing w:after="0" w:line="240" w:lineRule="auto"/>
        <w:ind w:left="0"/>
        <w:rPr>
          <w:sz w:val="24"/>
          <w:szCs w:val="24"/>
          <w:lang w:val="nb-NO"/>
        </w:rPr>
      </w:pPr>
      <w:r w:rsidRPr="00A87148">
        <w:rPr>
          <w:b/>
          <w:bCs/>
          <w:sz w:val="24"/>
          <w:szCs w:val="24"/>
          <w:u w:val="single"/>
          <w:lang w:val="nb-NO"/>
        </w:rPr>
        <w:t>Påbud om bruk av munnbind:</w:t>
      </w:r>
    </w:p>
    <w:p w14:paraId="140DAA52" w14:textId="59339E90" w:rsidR="00932054" w:rsidRPr="00A87148" w:rsidRDefault="009A58F2">
      <w:pPr>
        <w:pStyle w:val="Listeavsnitt"/>
        <w:spacing w:after="0" w:line="240" w:lineRule="auto"/>
        <w:ind w:left="0"/>
        <w:rPr>
          <w:sz w:val="24"/>
          <w:szCs w:val="24"/>
          <w:lang w:val="nb-NO"/>
        </w:rPr>
      </w:pPr>
      <w:r w:rsidRPr="00A87148">
        <w:rPr>
          <w:sz w:val="24"/>
          <w:szCs w:val="24"/>
          <w:lang w:val="nb-NO"/>
        </w:rPr>
        <w:t>Munnbind skal brukes av alle personer som oppholder seg i arrangementsområdet hvor man ikke med sikkerhet kan overholde minimum 1 meter avstand i en kontakt med andre som varer i mer enn 2 min.  Det er viktig at munnbind brukes riktig og informasjon publiseres på hjemmeside</w:t>
      </w:r>
      <w:r w:rsidR="009D3A0C">
        <w:rPr>
          <w:sz w:val="24"/>
          <w:szCs w:val="24"/>
          <w:lang w:val="nb-NO"/>
        </w:rPr>
        <w:t>n</w:t>
      </w:r>
      <w:r w:rsidRPr="00A87148">
        <w:rPr>
          <w:sz w:val="24"/>
          <w:szCs w:val="24"/>
          <w:lang w:val="nb-NO"/>
        </w:rPr>
        <w:t xml:space="preserve">. </w:t>
      </w:r>
    </w:p>
    <w:p w14:paraId="6B4BBEE3" w14:textId="77777777" w:rsidR="00932054" w:rsidRPr="00A87148" w:rsidRDefault="00932054">
      <w:pPr>
        <w:pStyle w:val="Listeavsnitt"/>
        <w:spacing w:after="0" w:line="240" w:lineRule="auto"/>
        <w:ind w:left="0"/>
        <w:rPr>
          <w:sz w:val="24"/>
          <w:szCs w:val="24"/>
          <w:lang w:val="nb-NO"/>
        </w:rPr>
      </w:pPr>
    </w:p>
    <w:p w14:paraId="53E70605" w14:textId="77777777" w:rsidR="00932054" w:rsidRPr="00A87148" w:rsidRDefault="009A58F2">
      <w:pPr>
        <w:pStyle w:val="Listeavsnitt"/>
        <w:numPr>
          <w:ilvl w:val="0"/>
          <w:numId w:val="6"/>
        </w:numPr>
        <w:spacing w:after="0" w:line="240" w:lineRule="auto"/>
        <w:rPr>
          <w:sz w:val="24"/>
          <w:szCs w:val="24"/>
          <w:lang w:val="nb-NO"/>
        </w:rPr>
      </w:pPr>
      <w:r w:rsidRPr="00A87148">
        <w:rPr>
          <w:sz w:val="24"/>
          <w:szCs w:val="24"/>
          <w:lang w:val="nb-NO"/>
        </w:rPr>
        <w:t xml:space="preserve">Munnbind skal brukes av vakter ved inngangene til de ulike kohortene. </w:t>
      </w:r>
    </w:p>
    <w:p w14:paraId="60DEDBE2" w14:textId="77777777" w:rsidR="00932054" w:rsidRPr="00A87148" w:rsidRDefault="009A58F2">
      <w:pPr>
        <w:pStyle w:val="Listeavsnitt"/>
        <w:numPr>
          <w:ilvl w:val="0"/>
          <w:numId w:val="6"/>
        </w:numPr>
        <w:spacing w:after="0" w:line="240" w:lineRule="auto"/>
        <w:rPr>
          <w:sz w:val="24"/>
          <w:szCs w:val="24"/>
          <w:lang w:val="nb-NO"/>
        </w:rPr>
      </w:pPr>
      <w:r w:rsidRPr="00A87148">
        <w:rPr>
          <w:sz w:val="24"/>
          <w:szCs w:val="24"/>
          <w:lang w:val="nb-NO"/>
        </w:rPr>
        <w:t>Munnbind skal brukes i startområde av funksjonærer som «starter» og de som har eventuell kontakt ved overlevering av materiell, i tillegg nyttes hansker eller engangshansker.</w:t>
      </w:r>
    </w:p>
    <w:p w14:paraId="60A666C9" w14:textId="77777777" w:rsidR="00932054" w:rsidRPr="00A87148" w:rsidRDefault="009A58F2">
      <w:pPr>
        <w:pStyle w:val="Listeavsnitt"/>
        <w:numPr>
          <w:ilvl w:val="0"/>
          <w:numId w:val="6"/>
        </w:numPr>
        <w:spacing w:after="0" w:line="240" w:lineRule="auto"/>
        <w:rPr>
          <w:sz w:val="24"/>
          <w:szCs w:val="24"/>
          <w:lang w:val="nb-NO"/>
        </w:rPr>
      </w:pPr>
      <w:r w:rsidRPr="00A87148">
        <w:rPr>
          <w:sz w:val="24"/>
          <w:szCs w:val="24"/>
          <w:lang w:val="nb-NO"/>
        </w:rPr>
        <w:t>Munnbind og hansker eller engangshansker skal brukes av funksjonærer om gjennomfører visitasjon av våpen under innskyting og etter målgang.</w:t>
      </w:r>
    </w:p>
    <w:p w14:paraId="6AC20642" w14:textId="77777777" w:rsidR="00932054" w:rsidRPr="00A87148" w:rsidRDefault="009A58F2">
      <w:pPr>
        <w:pStyle w:val="Listeavsnitt"/>
        <w:numPr>
          <w:ilvl w:val="0"/>
          <w:numId w:val="6"/>
        </w:numPr>
        <w:spacing w:after="0" w:line="240" w:lineRule="auto"/>
        <w:rPr>
          <w:sz w:val="24"/>
          <w:szCs w:val="24"/>
          <w:lang w:val="nb-NO"/>
        </w:rPr>
      </w:pPr>
      <w:r w:rsidRPr="00A87148">
        <w:rPr>
          <w:sz w:val="24"/>
          <w:szCs w:val="24"/>
          <w:lang w:val="nb-NO"/>
        </w:rPr>
        <w:t xml:space="preserve">Munnbind skal brukes av funksjonærer ved overlevering av ski i egen sone, i tillegg skal de anvende hansker eller engangshansker. </w:t>
      </w:r>
    </w:p>
    <w:p w14:paraId="3076F8A1" w14:textId="77777777" w:rsidR="00932054" w:rsidRPr="00A87148" w:rsidRDefault="009A58F2">
      <w:pPr>
        <w:pStyle w:val="Listeavsnitt"/>
        <w:numPr>
          <w:ilvl w:val="0"/>
          <w:numId w:val="6"/>
        </w:numPr>
        <w:spacing w:after="0" w:line="240" w:lineRule="auto"/>
        <w:rPr>
          <w:sz w:val="24"/>
          <w:szCs w:val="24"/>
          <w:lang w:val="nb-NO"/>
        </w:rPr>
      </w:pPr>
      <w:r w:rsidRPr="00A87148">
        <w:rPr>
          <w:sz w:val="24"/>
          <w:szCs w:val="24"/>
          <w:lang w:val="nb-NO"/>
        </w:rPr>
        <w:t>Munnbind skal brukes av funksjonærer i målområdet, i tillegg skal de anvende hansker eller engangshansker ved håndtering av materiell.</w:t>
      </w:r>
    </w:p>
    <w:p w14:paraId="5F2D0C7B" w14:textId="77777777" w:rsidR="00932054" w:rsidRPr="00A87148" w:rsidRDefault="009A58F2">
      <w:pPr>
        <w:pStyle w:val="Listeavsnitt"/>
        <w:numPr>
          <w:ilvl w:val="0"/>
          <w:numId w:val="6"/>
        </w:numPr>
        <w:spacing w:after="0" w:line="240" w:lineRule="auto"/>
        <w:rPr>
          <w:sz w:val="24"/>
          <w:szCs w:val="24"/>
          <w:lang w:val="nb-NO"/>
        </w:rPr>
      </w:pPr>
      <w:r w:rsidRPr="00A87148">
        <w:rPr>
          <w:sz w:val="24"/>
          <w:szCs w:val="24"/>
          <w:lang w:val="nb-NO"/>
        </w:rPr>
        <w:lastRenderedPageBreak/>
        <w:t xml:space="preserve">Munnbind skal brukes av </w:t>
      </w:r>
      <w:proofErr w:type="spellStart"/>
      <w:r w:rsidRPr="00A87148">
        <w:rPr>
          <w:sz w:val="24"/>
          <w:szCs w:val="24"/>
          <w:lang w:val="nb-NO"/>
        </w:rPr>
        <w:t>premieutdelere</w:t>
      </w:r>
      <w:proofErr w:type="spellEnd"/>
      <w:r w:rsidRPr="00A87148">
        <w:rPr>
          <w:sz w:val="24"/>
          <w:szCs w:val="24"/>
          <w:lang w:val="nb-NO"/>
        </w:rPr>
        <w:t xml:space="preserve">, i tillegg skal de anvende hansker eller engangshansker. </w:t>
      </w:r>
    </w:p>
    <w:p w14:paraId="5E44BC46" w14:textId="77777777" w:rsidR="00932054" w:rsidRPr="00A87148" w:rsidRDefault="009A58F2">
      <w:pPr>
        <w:pStyle w:val="Listeavsnitt"/>
        <w:numPr>
          <w:ilvl w:val="0"/>
          <w:numId w:val="6"/>
        </w:numPr>
        <w:spacing w:after="0" w:line="240" w:lineRule="auto"/>
        <w:rPr>
          <w:sz w:val="24"/>
          <w:szCs w:val="24"/>
          <w:lang w:val="nb-NO"/>
        </w:rPr>
      </w:pPr>
      <w:r w:rsidRPr="00A87148">
        <w:rPr>
          <w:sz w:val="24"/>
          <w:szCs w:val="24"/>
          <w:lang w:val="nb-NO"/>
        </w:rPr>
        <w:t>Munnbind skal brukes innendørs med unntak av når man spiser.</w:t>
      </w:r>
    </w:p>
    <w:p w14:paraId="0DF7B15C" w14:textId="77777777" w:rsidR="00932054" w:rsidRPr="00A87148" w:rsidRDefault="009A58F2">
      <w:pPr>
        <w:pStyle w:val="Listeavsnitt"/>
        <w:numPr>
          <w:ilvl w:val="0"/>
          <w:numId w:val="6"/>
        </w:numPr>
        <w:spacing w:after="0" w:line="240" w:lineRule="auto"/>
        <w:rPr>
          <w:sz w:val="24"/>
          <w:szCs w:val="24"/>
          <w:lang w:val="nb-NO"/>
        </w:rPr>
      </w:pPr>
      <w:r w:rsidRPr="00A87148">
        <w:rPr>
          <w:sz w:val="24"/>
          <w:szCs w:val="24"/>
          <w:lang w:val="nb-NO"/>
        </w:rPr>
        <w:t>Vi oppfordrer alle til å bruke munnbind til enhver tid, foruten utøvere under oppvarming og konkurranse.</w:t>
      </w:r>
    </w:p>
    <w:p w14:paraId="45FE727F" w14:textId="77777777" w:rsidR="00932054" w:rsidRPr="00A87148" w:rsidRDefault="00932054">
      <w:pPr>
        <w:pStyle w:val="BrdtekstA"/>
        <w:rPr>
          <w:sz w:val="24"/>
          <w:szCs w:val="24"/>
        </w:rPr>
      </w:pPr>
    </w:p>
    <w:p w14:paraId="4D7B3A24" w14:textId="77777777" w:rsidR="00932054" w:rsidRPr="00A87148" w:rsidRDefault="009A58F2">
      <w:pPr>
        <w:pStyle w:val="BrdtekstA"/>
        <w:rPr>
          <w:sz w:val="24"/>
          <w:szCs w:val="24"/>
        </w:rPr>
      </w:pPr>
      <w:r w:rsidRPr="00A87148">
        <w:rPr>
          <w:sz w:val="24"/>
          <w:szCs w:val="24"/>
        </w:rPr>
        <w:t>Mesterskapet arrangeres i en pandemi, og vi har et felles ansvar for å oppføre oss slik at vårt arrangement ikke bidrar til smittespredning.</w:t>
      </w:r>
    </w:p>
    <w:p w14:paraId="0B726646" w14:textId="77777777" w:rsidR="00932054" w:rsidRPr="00A87148" w:rsidRDefault="009A58F2">
      <w:pPr>
        <w:pStyle w:val="BrdtekstA"/>
      </w:pPr>
      <w:r w:rsidRPr="00A87148">
        <w:rPr>
          <w:sz w:val="24"/>
          <w:szCs w:val="24"/>
        </w:rPr>
        <w:t>Brudd på arrangementets smittevernregler vil medføre inndragelse av akkreditering og bortvisning fra arrangementet.</w:t>
      </w:r>
    </w:p>
    <w:sectPr w:rsidR="00932054" w:rsidRPr="00A87148">
      <w:headerReference w:type="default" r:id="rId14"/>
      <w:footerReference w:type="even" r:id="rId15"/>
      <w:footerReference w:type="defaul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C8B02" w14:textId="77777777" w:rsidR="003D43BA" w:rsidRDefault="003D43BA">
      <w:r>
        <w:separator/>
      </w:r>
    </w:p>
  </w:endnote>
  <w:endnote w:type="continuationSeparator" w:id="0">
    <w:p w14:paraId="2F0A6FD8" w14:textId="77777777" w:rsidR="003D43BA" w:rsidRDefault="003D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98449553"/>
      <w:docPartObj>
        <w:docPartGallery w:val="Page Numbers (Bottom of Page)"/>
        <w:docPartUnique/>
      </w:docPartObj>
    </w:sdtPr>
    <w:sdtEndPr>
      <w:rPr>
        <w:rStyle w:val="Sidetall"/>
      </w:rPr>
    </w:sdtEndPr>
    <w:sdtContent>
      <w:p w14:paraId="6F97C580" w14:textId="6013C77C" w:rsidR="00CD653B" w:rsidRDefault="00CD653B" w:rsidP="008D2C3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18E6A7B" w14:textId="77777777" w:rsidR="00CD653B" w:rsidRDefault="00CD653B" w:rsidP="00CD653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39337756"/>
      <w:docPartObj>
        <w:docPartGallery w:val="Page Numbers (Bottom of Page)"/>
        <w:docPartUnique/>
      </w:docPartObj>
    </w:sdtPr>
    <w:sdtEndPr>
      <w:rPr>
        <w:rStyle w:val="Sidetall"/>
      </w:rPr>
    </w:sdtEndPr>
    <w:sdtContent>
      <w:p w14:paraId="0E181D59" w14:textId="20C668EC" w:rsidR="00CD653B" w:rsidRDefault="00CD653B" w:rsidP="008D2C3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1662AF1A" w14:textId="77777777" w:rsidR="00932054" w:rsidRDefault="00932054" w:rsidP="00CD653B">
    <w:pPr>
      <w:pStyle w:val="Topptekstog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6EDE9" w14:textId="77777777" w:rsidR="003D43BA" w:rsidRDefault="003D43BA">
      <w:r>
        <w:separator/>
      </w:r>
    </w:p>
  </w:footnote>
  <w:footnote w:type="continuationSeparator" w:id="0">
    <w:p w14:paraId="3F7D179D" w14:textId="77777777" w:rsidR="003D43BA" w:rsidRDefault="003D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60112" w14:textId="77777777" w:rsidR="00932054" w:rsidRDefault="00932054">
    <w:pPr>
      <w:pStyle w:val="Topptekstogbunn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16D7"/>
    <w:multiLevelType w:val="hybridMultilevel"/>
    <w:tmpl w:val="CF7675CA"/>
    <w:styleLink w:val="Importertstil3"/>
    <w:lvl w:ilvl="0" w:tplc="6412A0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8E65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C8163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3825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3046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F0881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40018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2C9A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E680B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CA672E"/>
    <w:multiLevelType w:val="hybridMultilevel"/>
    <w:tmpl w:val="3062ACC0"/>
    <w:styleLink w:val="Importertstil2"/>
    <w:lvl w:ilvl="0" w:tplc="DDD0F00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5F8073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980533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CD0E12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1FC76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5D6EC4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BF2884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42AFF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C32DA2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F70D7"/>
    <w:multiLevelType w:val="hybridMultilevel"/>
    <w:tmpl w:val="CF7675CA"/>
    <w:numStyleLink w:val="Importertstil3"/>
  </w:abstractNum>
  <w:abstractNum w:abstractNumId="3" w15:restartNumberingAfterBreak="0">
    <w:nsid w:val="23E3792C"/>
    <w:multiLevelType w:val="hybridMultilevel"/>
    <w:tmpl w:val="A9221966"/>
    <w:styleLink w:val="Importertstil1"/>
    <w:lvl w:ilvl="0" w:tplc="AED8174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760E514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A785C5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EA5DA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30AEE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AEAD11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98F4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97EE8E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39CF26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42B2E64"/>
    <w:multiLevelType w:val="hybridMultilevel"/>
    <w:tmpl w:val="A9221966"/>
    <w:numStyleLink w:val="Importertstil1"/>
  </w:abstractNum>
  <w:abstractNum w:abstractNumId="5" w15:restartNumberingAfterBreak="0">
    <w:nsid w:val="4B2A54A0"/>
    <w:multiLevelType w:val="hybridMultilevel"/>
    <w:tmpl w:val="7A22DB4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3DA1F45"/>
    <w:multiLevelType w:val="hybridMultilevel"/>
    <w:tmpl w:val="3062ACC0"/>
    <w:numStyleLink w:val="Importertstil2"/>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54"/>
    <w:rsid w:val="000949B6"/>
    <w:rsid w:val="000A34ED"/>
    <w:rsid w:val="00104D4F"/>
    <w:rsid w:val="001146B8"/>
    <w:rsid w:val="0018199B"/>
    <w:rsid w:val="00263809"/>
    <w:rsid w:val="00276150"/>
    <w:rsid w:val="003845AA"/>
    <w:rsid w:val="003D43BA"/>
    <w:rsid w:val="0052260C"/>
    <w:rsid w:val="00932054"/>
    <w:rsid w:val="009A58F2"/>
    <w:rsid w:val="009D3A0C"/>
    <w:rsid w:val="00A87148"/>
    <w:rsid w:val="00CB1D20"/>
    <w:rsid w:val="00CD65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39A4"/>
  <w15:docId w15:val="{7E3E47A8-9C46-E042-A3C6-4D173A00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2">
    <w:name w:val="heading 2"/>
    <w:basedOn w:val="Normal"/>
    <w:next w:val="Normal"/>
    <w:link w:val="Overskrift2Tegn"/>
    <w:uiPriority w:val="9"/>
    <w:unhideWhenUsed/>
    <w:qFormat/>
    <w:rsid w:val="009D3A0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0" w:after="240"/>
      <w:outlineLvl w:val="1"/>
    </w:pPr>
    <w:rPr>
      <w:rFonts w:asciiTheme="majorHAnsi" w:eastAsiaTheme="majorEastAsia" w:hAnsiTheme="majorHAnsi" w:cstheme="majorBidi"/>
      <w:color w:val="000000" w:themeColor="text1"/>
      <w:sz w:val="36"/>
      <w:szCs w:val="26"/>
      <w:bdr w:val="none" w:sz="0" w:space="0" w:color="auto"/>
      <w:lang w:val="nb-NO"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tel">
    <w:name w:val="Title"/>
    <w:next w:val="BrdtekstA"/>
    <w:uiPriority w:val="10"/>
    <w:qFormat/>
    <w:rPr>
      <w:rFonts w:ascii="Calibri Light" w:hAnsi="Calibri Light" w:cs="Arial Unicode MS"/>
      <w:color w:val="000000"/>
      <w:spacing w:val="-10"/>
      <w:kern w:val="28"/>
      <w:sz w:val="56"/>
      <w:szCs w:val="56"/>
      <w:u w:color="000000"/>
    </w:rPr>
  </w:style>
  <w:style w:type="paragraph" w:customStyle="1" w:styleId="BrdtekstA">
    <w:name w:val="Brødtekst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Standard">
    <w:name w:val="Standard"/>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eavsnitt">
    <w:name w:val="List Paragraph"/>
    <w:pPr>
      <w:spacing w:after="160" w:line="259" w:lineRule="auto"/>
      <w:ind w:left="720"/>
    </w:pPr>
    <w:rPr>
      <w:rFonts w:ascii="Calibri" w:hAnsi="Calibri" w:cs="Arial Unicode MS"/>
      <w:color w:val="000000"/>
      <w:sz w:val="22"/>
      <w:szCs w:val="22"/>
      <w:u w:color="000000"/>
      <w:lang w:val="de-DE"/>
    </w:rPr>
  </w:style>
  <w:style w:type="numbering" w:customStyle="1" w:styleId="Importertstil1">
    <w:name w:val="Importert stil 1"/>
    <w:pPr>
      <w:numPr>
        <w:numId w:val="1"/>
      </w:numPr>
    </w:pPr>
  </w:style>
  <w:style w:type="numbering" w:customStyle="1" w:styleId="Importertstil2">
    <w:name w:val="Importert stil 2"/>
    <w:pPr>
      <w:numPr>
        <w:numId w:val="3"/>
      </w:numPr>
    </w:pPr>
  </w:style>
  <w:style w:type="numbering" w:customStyle="1" w:styleId="Importertstil3">
    <w:name w:val="Importert stil 3"/>
    <w:pPr>
      <w:numPr>
        <w:numId w:val="5"/>
      </w:numPr>
    </w:p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lang w:val="en-US" w:eastAsia="en-US"/>
    </w:rPr>
  </w:style>
  <w:style w:type="character" w:styleId="Merknadsreferanse">
    <w:name w:val="annotation reference"/>
    <w:basedOn w:val="Standardskriftforavsnitt"/>
    <w:uiPriority w:val="99"/>
    <w:semiHidden/>
    <w:unhideWhenUsed/>
    <w:rPr>
      <w:sz w:val="16"/>
      <w:szCs w:val="16"/>
    </w:rPr>
  </w:style>
  <w:style w:type="character" w:styleId="Ulstomtale">
    <w:name w:val="Unresolved Mention"/>
    <w:basedOn w:val="Standardskriftforavsnitt"/>
    <w:uiPriority w:val="99"/>
    <w:semiHidden/>
    <w:unhideWhenUsed/>
    <w:rsid w:val="00CB1D20"/>
    <w:rPr>
      <w:color w:val="605E5C"/>
      <w:shd w:val="clear" w:color="auto" w:fill="E1DFDD"/>
    </w:rPr>
  </w:style>
  <w:style w:type="character" w:customStyle="1" w:styleId="Overskrift2Tegn">
    <w:name w:val="Overskrift 2 Tegn"/>
    <w:basedOn w:val="Standardskriftforavsnitt"/>
    <w:link w:val="Overskrift2"/>
    <w:uiPriority w:val="9"/>
    <w:rsid w:val="009D3A0C"/>
    <w:rPr>
      <w:rFonts w:asciiTheme="majorHAnsi" w:eastAsiaTheme="majorEastAsia" w:hAnsiTheme="majorHAnsi" w:cstheme="majorBidi"/>
      <w:color w:val="000000" w:themeColor="text1"/>
      <w:sz w:val="36"/>
      <w:szCs w:val="26"/>
      <w:bdr w:val="none" w:sz="0" w:space="0" w:color="auto"/>
      <w:lang w:eastAsia="ja-JP"/>
    </w:rPr>
  </w:style>
  <w:style w:type="character" w:styleId="Fulgthyperkobling">
    <w:name w:val="FollowedHyperlink"/>
    <w:basedOn w:val="Standardskriftforavsnitt"/>
    <w:uiPriority w:val="99"/>
    <w:semiHidden/>
    <w:unhideWhenUsed/>
    <w:rsid w:val="009D3A0C"/>
    <w:rPr>
      <w:color w:val="FF00FF" w:themeColor="followedHyperlink"/>
      <w:u w:val="single"/>
    </w:rPr>
  </w:style>
  <w:style w:type="paragraph" w:styleId="Bunntekst">
    <w:name w:val="footer"/>
    <w:basedOn w:val="Normal"/>
    <w:link w:val="BunntekstTegn"/>
    <w:uiPriority w:val="99"/>
    <w:unhideWhenUsed/>
    <w:rsid w:val="00CD653B"/>
    <w:pPr>
      <w:tabs>
        <w:tab w:val="center" w:pos="4536"/>
        <w:tab w:val="right" w:pos="9072"/>
      </w:tabs>
    </w:pPr>
  </w:style>
  <w:style w:type="character" w:customStyle="1" w:styleId="BunntekstTegn">
    <w:name w:val="Bunntekst Tegn"/>
    <w:basedOn w:val="Standardskriftforavsnitt"/>
    <w:link w:val="Bunntekst"/>
    <w:uiPriority w:val="99"/>
    <w:rsid w:val="00CD653B"/>
    <w:rPr>
      <w:sz w:val="24"/>
      <w:szCs w:val="24"/>
      <w:lang w:val="en-US" w:eastAsia="en-US"/>
    </w:rPr>
  </w:style>
  <w:style w:type="character" w:styleId="Sidetall">
    <w:name w:val="page number"/>
    <w:basedOn w:val="Standardskriftforavsnitt"/>
    <w:uiPriority w:val="99"/>
    <w:semiHidden/>
    <w:unhideWhenUsed/>
    <w:rsid w:val="00CD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rondheim.kommune.no/aktuelt/korona-samleside/korona-hovedsak/slik-tar-du-te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rondheim.kommune.no/aktuelt/korona-samleside/korona-hovedsak/slik-tar-du-te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forbundet.no/nmmars2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3773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Marit Hauge</dc:creator>
  <cp:lastModifiedBy>Hilde Marit Hauge</cp:lastModifiedBy>
  <cp:revision>2</cp:revision>
  <dcterms:created xsi:type="dcterms:W3CDTF">2021-03-14T18:11:00Z</dcterms:created>
  <dcterms:modified xsi:type="dcterms:W3CDTF">2021-03-14T18:11:00Z</dcterms:modified>
</cp:coreProperties>
</file>